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0"/>
          <w:szCs w:val="20"/>
        </w:rPr>
      </w:pPr>
      <w:r>
        <w:rPr>
          <w:rFonts w:ascii="Times New Roman" w:eastAsia="Times New Roman" w:hAnsi="Times New Roman" w:cs="Times New Roman"/>
          <w:sz w:val="20"/>
          <w:szCs w:val="20"/>
        </w:rPr>
        <w:t>Дело № 5-</w:t>
      </w:r>
      <w:r>
        <w:rPr>
          <w:rFonts w:ascii="Times New Roman" w:eastAsia="Times New Roman" w:hAnsi="Times New Roman" w:cs="Times New Roman"/>
          <w:sz w:val="20"/>
          <w:szCs w:val="20"/>
        </w:rPr>
        <w:t>480</w:t>
      </w:r>
      <w:r>
        <w:rPr>
          <w:rFonts w:ascii="Times New Roman" w:eastAsia="Times New Roman" w:hAnsi="Times New Roman" w:cs="Times New Roman"/>
          <w:sz w:val="20"/>
          <w:szCs w:val="20"/>
        </w:rPr>
        <w:t>-2003/202</w:t>
      </w:r>
      <w:r>
        <w:rPr>
          <w:rFonts w:ascii="Times New Roman" w:eastAsia="Times New Roman" w:hAnsi="Times New Roman" w:cs="Times New Roman"/>
          <w:sz w:val="20"/>
          <w:szCs w:val="20"/>
        </w:rPr>
        <w:t>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right="20"/>
        <w:jc w:val="both"/>
        <w:rPr>
          <w:sz w:val="10"/>
          <w:szCs w:val="10"/>
        </w:rPr>
      </w:pPr>
    </w:p>
    <w:p>
      <w:pPr>
        <w:spacing w:before="0" w:after="0"/>
        <w:jc w:val="both"/>
        <w:rPr>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jc w:val="both"/>
        <w:rPr>
          <w:sz w:val="10"/>
          <w:szCs w:val="10"/>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3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 xml:space="preserve">Курбановой Марины Владимировны, </w:t>
      </w:r>
      <w:r>
        <w:rPr>
          <w:rStyle w:val="cat-ExternalSystemDefinedgrp-45rplc-6"/>
          <w:rFonts w:ascii="Times New Roman" w:eastAsia="Times New Roman" w:hAnsi="Times New Roman" w:cs="Times New Roman"/>
          <w:sz w:val="26"/>
          <w:szCs w:val="26"/>
        </w:rPr>
        <w:t>...</w:t>
      </w:r>
      <w:r>
        <w:rPr>
          <w:rStyle w:val="cat-PassportDatagrp-36rplc-7"/>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являющейся директором ООО «</w:t>
      </w:r>
      <w:r>
        <w:rPr>
          <w:rFonts w:ascii="Times New Roman" w:eastAsia="Times New Roman" w:hAnsi="Times New Roman" w:cs="Times New Roman"/>
          <w:sz w:val="26"/>
          <w:szCs w:val="26"/>
        </w:rPr>
        <w:t>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зарегистрированной и </w:t>
      </w:r>
      <w:r>
        <w:rPr>
          <w:rFonts w:ascii="Times New Roman" w:eastAsia="Times New Roman" w:hAnsi="Times New Roman" w:cs="Times New Roman"/>
          <w:sz w:val="26"/>
          <w:szCs w:val="26"/>
        </w:rPr>
        <w:t xml:space="preserve">проживающей по адресу: </w:t>
      </w:r>
      <w:r>
        <w:rPr>
          <w:rStyle w:val="cat-UserDefinedgrp-46rplc-9"/>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w:t>
      </w:r>
    </w:p>
    <w:p>
      <w:pPr>
        <w:spacing w:before="0" w:after="0"/>
        <w:rPr>
          <w:sz w:val="10"/>
          <w:szCs w:val="10"/>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Курбанова М.В., являясь директором ООО «КОМУНАЛСЕРВИС», зарегистрированного по адресу: ХМАО-Югра, г. Нефтеюганск, СНТ Надежда, ул. Энергетиков, д. 26/14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помещение 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w:t>
      </w:r>
      <w:r>
        <w:rPr>
          <w:rFonts w:ascii="Times New Roman" w:eastAsia="Times New Roman" w:hAnsi="Times New Roman" w:cs="Times New Roman"/>
          <w:sz w:val="26"/>
          <w:szCs w:val="26"/>
        </w:rPr>
        <w:t xml:space="preserve">срок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квартал</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Фактически отчет предоставлен </w:t>
      </w:r>
      <w:r>
        <w:rPr>
          <w:rFonts w:ascii="Times New Roman" w:eastAsia="Times New Roman" w:hAnsi="Times New Roman" w:cs="Times New Roman"/>
          <w:sz w:val="26"/>
          <w:szCs w:val="26"/>
        </w:rPr>
        <w:t>27.03</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вместо </w:t>
      </w:r>
      <w:r>
        <w:rPr>
          <w:rFonts w:ascii="Times New Roman" w:eastAsia="Times New Roman" w:hAnsi="Times New Roman" w:cs="Times New Roman"/>
          <w:sz w:val="26"/>
          <w:szCs w:val="26"/>
        </w:rPr>
        <w:t>25.07</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17, ст. 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24</w:t>
      </w:r>
      <w:r>
        <w:rPr>
          <w:rFonts w:ascii="Times New Roman" w:eastAsia="Times New Roman" w:hAnsi="Times New Roman" w:cs="Times New Roman"/>
          <w:sz w:val="26"/>
          <w:szCs w:val="26"/>
        </w:rPr>
        <w:t xml:space="preserve">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24.07.1998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отсутствие.</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7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Курбанова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квартал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информацией о предоставлении отчета</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выпиской из Единого государственного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телефонограммой-уведомлением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6"/>
          <w:szCs w:val="26"/>
        </w:rPr>
        <w:t>15.05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списком внутренних почтовых отправлений о направлении копии протокола об </w:t>
      </w:r>
      <w:r>
        <w:rPr>
          <w:rFonts w:ascii="Times New Roman" w:eastAsia="Times New Roman" w:hAnsi="Times New Roman" w:cs="Times New Roman"/>
          <w:sz w:val="26"/>
          <w:szCs w:val="26"/>
        </w:rPr>
        <w:t>административном правонарушении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1 п. 2 ст. 17 </w:t>
      </w:r>
      <w:r>
        <w:rPr>
          <w:rFonts w:ascii="Times New Roman" w:eastAsia="Times New Roman" w:hAnsi="Times New Roman" w:cs="Times New Roman"/>
          <w:sz w:val="26"/>
          <w:szCs w:val="26"/>
        </w:rPr>
        <w:t>Федерального закона от 24.07.1998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6"/>
          <w:szCs w:val="26"/>
        </w:rPr>
        <w:t> </w:t>
      </w:r>
      <w:hyperlink r:id="rId4" w:anchor="/document/12112505/entry/63" w:history="1">
        <w:r>
          <w:rPr>
            <w:rFonts w:ascii="Times New Roman" w:eastAsia="Times New Roman" w:hAnsi="Times New Roman" w:cs="Times New Roman"/>
            <w:color w:val="0000EE"/>
            <w:sz w:val="26"/>
            <w:szCs w:val="26"/>
          </w:rPr>
          <w:t>абзацами третьим</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12505/entry/64" w:history="1">
        <w:r>
          <w:rPr>
            <w:rFonts w:ascii="Times New Roman" w:eastAsia="Times New Roman" w:hAnsi="Times New Roman" w:cs="Times New Roman"/>
            <w:color w:val="0000EE"/>
            <w:sz w:val="26"/>
            <w:szCs w:val="26"/>
          </w:rPr>
          <w:t>четвертым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12505/entry/65" w:history="1">
        <w:r>
          <w:rPr>
            <w:rFonts w:ascii="Times New Roman" w:eastAsia="Times New Roman" w:hAnsi="Times New Roman" w:cs="Times New Roman"/>
            <w:color w:val="0000EE"/>
            <w:sz w:val="26"/>
            <w:szCs w:val="26"/>
          </w:rPr>
          <w:t>пятым части первой статьи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6"/>
          <w:szCs w:val="26"/>
        </w:rPr>
        <w:t> </w:t>
      </w:r>
      <w:hyperlink r:id="rId4" w:anchor="/document/12177515/entry/7"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27 июля 2010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210-ФЗ "Об организации предоставления государственных и муниципальных услуг" перечень документов.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 ст.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6"/>
          <w:szCs w:val="26"/>
        </w:rPr>
      </w:pPr>
      <w:r>
        <w:rPr>
          <w:rFonts w:ascii="Times New Roman" w:eastAsia="Times New Roman" w:hAnsi="Times New Roman" w:cs="Times New Roman"/>
          <w:sz w:val="26"/>
          <w:szCs w:val="26"/>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6"/>
          <w:szCs w:val="26"/>
        </w:rPr>
      </w:pPr>
      <w:r>
        <w:rPr>
          <w:rFonts w:ascii="Times New Roman" w:eastAsia="Times New Roman" w:hAnsi="Times New Roman" w:cs="Times New Roman"/>
          <w:sz w:val="26"/>
          <w:szCs w:val="26"/>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административных правонарушениях и</w:t>
      </w:r>
      <w:r>
        <w:rPr>
          <w:rFonts w:ascii="Times New Roman" w:eastAsia="Times New Roman" w:hAnsi="Times New Roman" w:cs="Times New Roman"/>
          <w:sz w:val="26"/>
          <w:szCs w:val="26"/>
        </w:rPr>
        <w:t> </w:t>
      </w:r>
      <w:hyperlink r:id="rId5" w:anchor="/document/10108000/entry/0" w:history="1">
        <w:r>
          <w:rPr>
            <w:rFonts w:ascii="Times New Roman" w:eastAsia="Times New Roman" w:hAnsi="Times New Roman" w:cs="Times New Roman"/>
            <w:color w:val="0000EE"/>
            <w:sz w:val="26"/>
            <w:szCs w:val="26"/>
          </w:rPr>
          <w:t>Уголовным 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 1 ст. 24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6"/>
          <w:szCs w:val="26"/>
        </w:rPr>
        <w:t> </w:t>
      </w:r>
      <w:hyperlink r:id="rId5" w:anchor="/document/405976449/entry/1000" w:history="1">
        <w:r>
          <w:rPr>
            <w:rFonts w:ascii="Times New Roman" w:eastAsia="Times New Roman" w:hAnsi="Times New Roman" w:cs="Times New Roman"/>
            <w:color w:val="0000EE"/>
            <w:sz w:val="26"/>
            <w:szCs w:val="26"/>
          </w:rPr>
          <w:t>единой формы</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сведений, предусмотренной</w:t>
      </w:r>
      <w:r>
        <w:rPr>
          <w:rFonts w:ascii="Times New Roman" w:eastAsia="Times New Roman" w:hAnsi="Times New Roman" w:cs="Times New Roman"/>
          <w:sz w:val="26"/>
          <w:szCs w:val="26"/>
        </w:rPr>
        <w:t> </w:t>
      </w:r>
      <w:hyperlink r:id="rId5" w:anchor="/document/10106192/entry/8" w:history="1">
        <w:r>
          <w:rPr>
            <w:rFonts w:ascii="Times New Roman" w:eastAsia="Times New Roman" w:hAnsi="Times New Roman" w:cs="Times New Roman"/>
            <w:color w:val="0000EE"/>
            <w:sz w:val="26"/>
            <w:szCs w:val="26"/>
          </w:rPr>
          <w:t>статьей 8</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1 апреля 1996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Курбановой М.В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w:t>
      </w:r>
      <w:r>
        <w:rPr>
          <w:rFonts w:ascii="Times New Roman" w:eastAsia="Times New Roman" w:hAnsi="Times New Roman" w:cs="Times New Roman"/>
          <w:sz w:val="26"/>
          <w:szCs w:val="26"/>
        </w:rPr>
        <w:t>нарушение установленных</w:t>
      </w:r>
      <w:r>
        <w:rPr>
          <w:rFonts w:ascii="Times New Roman" w:eastAsia="Times New Roman" w:hAnsi="Times New Roman" w:cs="Times New Roman"/>
          <w:sz w:val="26"/>
          <w:szCs w:val="26"/>
        </w:rPr>
        <w:t> </w:t>
      </w:r>
      <w:hyperlink r:id="rId4" w:anchor="/document/12112505/entry/24"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w:t>
      </w:r>
      <w:r>
        <w:rPr>
          <w:rFonts w:ascii="Times New Roman" w:eastAsia="Times New Roman" w:hAnsi="Times New Roman" w:cs="Times New Roman"/>
          <w:sz w:val="26"/>
          <w:szCs w:val="26"/>
        </w:rPr>
        <w:t>взносам в территориальные органы Фонда социального страхования Российской Федерации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предусмотренных ст. 4.2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директора </w:t>
      </w:r>
      <w:r>
        <w:rPr>
          <w:rFonts w:ascii="Times New Roman" w:eastAsia="Times New Roman" w:hAnsi="Times New Roman" w:cs="Times New Roman"/>
          <w:sz w:val="26"/>
          <w:szCs w:val="26"/>
        </w:rPr>
        <w:t>ООО «КОМУНАЛСЕРВИС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Курбанову Марину Владимировну </w:t>
      </w: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триста</w:t>
      </w:r>
      <w:r>
        <w:rPr>
          <w:rFonts w:ascii="Times New Roman" w:eastAsia="Times New Roman" w:hAnsi="Times New Roman" w:cs="Times New Roman"/>
          <w:sz w:val="26"/>
          <w:szCs w:val="26"/>
        </w:rPr>
        <w:t xml:space="preserve">) рублей. </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реквизиты: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 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6"/>
          <w:szCs w:val="26"/>
        </w:rPr>
        <w:t>7978600</w:t>
      </w:r>
      <w:r>
        <w:rPr>
          <w:rFonts w:ascii="Times New Roman" w:eastAsia="Times New Roman" w:hAnsi="Times New Roman" w:cs="Times New Roman"/>
          <w:sz w:val="26"/>
          <w:szCs w:val="26"/>
        </w:rPr>
        <w:t>2804260208</w:t>
      </w:r>
      <w:r>
        <w:rPr>
          <w:rFonts w:ascii="Times New Roman" w:eastAsia="Times New Roman" w:hAnsi="Times New Roman" w:cs="Times New Roman"/>
          <w:sz w:val="26"/>
          <w:szCs w:val="26"/>
        </w:rPr>
        <w:t>541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ind w:firstLine="567"/>
        <w:jc w:val="both"/>
        <w:rPr>
          <w:sz w:val="26"/>
          <w:szCs w:val="26"/>
        </w:rPr>
      </w:pPr>
    </w:p>
    <w:p>
      <w:pPr>
        <w:tabs>
          <w:tab w:val="left" w:pos="6570"/>
        </w:tabs>
        <w:spacing w:before="0" w:after="0"/>
        <w:ind w:left="1560"/>
        <w:rPr>
          <w:sz w:val="26"/>
          <w:szCs w:val="26"/>
        </w:rPr>
      </w:pPr>
      <w:r>
        <w:rPr>
          <w:sz w:val="26"/>
          <w:szCs w:val="26"/>
        </w:rPr>
        <w:tab/>
      </w: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28"/>
          <w:szCs w:val="28"/>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6">
    <w:name w:val="cat-ExternalSystemDefined grp-45 rplc-6"/>
    <w:basedOn w:val="DefaultParagraphFont"/>
  </w:style>
  <w:style w:type="character" w:customStyle="1" w:styleId="cat-PassportDatagrp-36rplc-7">
    <w:name w:val="cat-PassportData grp-36 rplc-7"/>
    <w:basedOn w:val="DefaultParagraphFont"/>
  </w:style>
  <w:style w:type="character" w:customStyle="1" w:styleId="cat-UserDefinedgrp-46rplc-9">
    <w:name w:val="cat-UserDefined grp-46 rplc-9"/>
    <w:basedOn w:val="DefaultParagraphFont"/>
  </w:style>
  <w:style w:type="character" w:customStyle="1" w:styleId="cat-UserDefinedgrp-47rplc-26">
    <w:name w:val="cat-UserDefined grp-47 rplc-26"/>
    <w:basedOn w:val="DefaultParagraphFont"/>
  </w:style>
  <w:style w:type="character" w:customStyle="1" w:styleId="cat-UserDefinedgrp-48rplc-47">
    <w:name w:val="cat-UserDefined grp-48 rplc-47"/>
    <w:basedOn w:val="DefaultParagraphFont"/>
  </w:style>
  <w:style w:type="character" w:customStyle="1" w:styleId="cat-UserDefinedgrp-49rplc-50">
    <w:name w:val="cat-UserDefined grp-49 rplc-5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